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BF29" w14:textId="30BAD0F4" w:rsidR="005A39DC" w:rsidRDefault="00F37C8D" w:rsidP="00423D47">
      <w:pPr>
        <w:spacing w:after="0" w:line="240" w:lineRule="auto"/>
        <w:jc w:val="center"/>
      </w:pPr>
      <w:r>
        <w:t>Texas Energy Fund Comments</w:t>
      </w:r>
    </w:p>
    <w:p w14:paraId="300EF23A" w14:textId="77777777" w:rsidR="00F37C8D" w:rsidRDefault="00F37C8D" w:rsidP="00423D47">
      <w:pPr>
        <w:spacing w:after="0" w:line="240" w:lineRule="auto"/>
      </w:pPr>
    </w:p>
    <w:p w14:paraId="528C6FC8" w14:textId="3F3F72BB" w:rsidR="00F37C8D" w:rsidRDefault="00F37C8D" w:rsidP="00423D47">
      <w:pPr>
        <w:spacing w:after="0" w:line="240" w:lineRule="auto"/>
      </w:pPr>
      <w:r>
        <w:t>Ben Williams</w:t>
      </w:r>
    </w:p>
    <w:p w14:paraId="162F5897" w14:textId="68370630" w:rsidR="00F37C8D" w:rsidRDefault="00F37C8D" w:rsidP="00423D47">
      <w:pPr>
        <w:spacing w:after="0" w:line="240" w:lineRule="auto"/>
      </w:pPr>
      <w:r>
        <w:t>October 13, 2023</w:t>
      </w:r>
    </w:p>
    <w:p w14:paraId="5BF018EE" w14:textId="77195FEE" w:rsidR="00F37C8D" w:rsidRDefault="00F37C8D" w:rsidP="00423D47">
      <w:pPr>
        <w:spacing w:after="0" w:line="240" w:lineRule="auto"/>
      </w:pPr>
      <w:r>
        <w:t>FarmersBW@gmail.com</w:t>
      </w:r>
    </w:p>
    <w:p w14:paraId="76358834" w14:textId="77777777" w:rsidR="00F37C8D" w:rsidRDefault="00F37C8D" w:rsidP="00423D47">
      <w:pPr>
        <w:spacing w:after="0" w:line="240" w:lineRule="auto"/>
      </w:pPr>
    </w:p>
    <w:p w14:paraId="4C650781" w14:textId="68F61E62" w:rsidR="00F37C8D" w:rsidRDefault="00F37C8D" w:rsidP="00423D47">
      <w:pPr>
        <w:spacing w:after="0" w:line="240" w:lineRule="auto"/>
      </w:pPr>
      <w:r>
        <w:t>Thank you for the opportunity to submit comments relating to SB 2627, The Texas En</w:t>
      </w:r>
      <w:r w:rsidR="00FD6329">
        <w:t>ergy Fund is designed to bring more dispatchable, non-renewable energy into ERCOT.</w:t>
      </w:r>
      <w:r w:rsidR="00D22AFC">
        <w:t xml:space="preserve"> It comes at a time a time of high interest rates and difficult market conditions.</w:t>
      </w:r>
      <w:r w:rsidR="00FD6329">
        <w:t xml:space="preserve"> To be sure, Texas is growing and the demand for electricity is rapidly increasing with little end in sight.  The bill is divided into two distinct sections; first is the Texas Energy Fund, second is the Texas Backup Power Package. To that end, I have three points for consideration</w:t>
      </w:r>
      <w:r w:rsidR="007C6BE4">
        <w:t xml:space="preserve"> that </w:t>
      </w:r>
      <w:r w:rsidR="00A27A88">
        <w:t>relate to the Texas Energy Fund</w:t>
      </w:r>
      <w:r w:rsidR="00FD6329">
        <w:t>.</w:t>
      </w:r>
    </w:p>
    <w:p w14:paraId="56572EFD" w14:textId="77777777" w:rsidR="00423D47" w:rsidRDefault="00423D47" w:rsidP="00423D47">
      <w:pPr>
        <w:spacing w:after="0" w:line="240" w:lineRule="auto"/>
      </w:pPr>
    </w:p>
    <w:p w14:paraId="0D571C6C" w14:textId="7464B3EB" w:rsidR="00FD6329" w:rsidRDefault="00FD6329" w:rsidP="00423D47">
      <w:pPr>
        <w:spacing w:after="0" w:line="240" w:lineRule="auto"/>
        <w:jc w:val="center"/>
      </w:pPr>
      <w:r>
        <w:t>Eligibility</w:t>
      </w:r>
      <w:r w:rsidR="0040243C">
        <w:t xml:space="preserve"> Factors</w:t>
      </w:r>
    </w:p>
    <w:p w14:paraId="7F010BE7" w14:textId="77777777" w:rsidR="00423D47" w:rsidRDefault="00423D47" w:rsidP="00423D47">
      <w:pPr>
        <w:spacing w:after="0" w:line="240" w:lineRule="auto"/>
      </w:pPr>
    </w:p>
    <w:p w14:paraId="702635FE" w14:textId="2B16E502" w:rsidR="00FD6329" w:rsidRDefault="00FD6329" w:rsidP="00423D47">
      <w:pPr>
        <w:spacing w:after="0" w:line="240" w:lineRule="auto"/>
      </w:pPr>
      <w:r>
        <w:t>SB 2627 outlines factors to consider prior to awarding loans for projects.</w:t>
      </w:r>
      <w:r w:rsidR="0040243C">
        <w:t xml:space="preserve"> </w:t>
      </w:r>
      <w:r w:rsidR="00D22AFC">
        <w:t>No one factor should outweigh another, and factors should be interpreted broadly to allow for more participation. For example, w</w:t>
      </w:r>
      <w:r w:rsidR="0040243C">
        <w:t xml:space="preserve">hile one of the factors is </w:t>
      </w:r>
      <w:r w:rsidR="00D22AFC">
        <w:t xml:space="preserve">market </w:t>
      </w:r>
      <w:r w:rsidR="0040243C">
        <w:t xml:space="preserve">experience, it is without doubt the legislature intended to bring new market participants and investment into the electric generation pool. </w:t>
      </w:r>
      <w:r w:rsidR="00D22AFC">
        <w:t xml:space="preserve">This program is not only for large existing companies, </w:t>
      </w:r>
      <w:r w:rsidR="005677DA">
        <w:t>but</w:t>
      </w:r>
      <w:r w:rsidR="00D22AFC">
        <w:t xml:space="preserve"> also for new energy </w:t>
      </w:r>
      <w:r w:rsidR="005677DA">
        <w:t>market participants</w:t>
      </w:r>
      <w:r w:rsidR="00D22AFC">
        <w:t xml:space="preserve">. </w:t>
      </w:r>
      <w:r w:rsidR="0040243C">
        <w:t xml:space="preserve">The rules should make clear that the program is designed to attract investment into the electric generation market, </w:t>
      </w:r>
      <w:r w:rsidR="005677DA">
        <w:t>including</w:t>
      </w:r>
      <w:r w:rsidR="0040243C">
        <w:t xml:space="preserve"> new</w:t>
      </w:r>
      <w:r w:rsidR="00D22AFC">
        <w:t xml:space="preserve">, yet </w:t>
      </w:r>
      <w:r w:rsidR="0040243C">
        <w:t>qualified participants.</w:t>
      </w:r>
      <w:r w:rsidR="000A61EE">
        <w:t xml:space="preserve"> Experience can </w:t>
      </w:r>
      <w:r w:rsidR="004C4370">
        <w:t xml:space="preserve">broadly </w:t>
      </w:r>
      <w:r w:rsidR="000A61EE">
        <w:t>include a</w:t>
      </w:r>
      <w:r w:rsidR="004C4370">
        <w:t>n</w:t>
      </w:r>
      <w:r w:rsidR="000A61EE">
        <w:t xml:space="preserve"> </w:t>
      </w:r>
      <w:r w:rsidR="004C4370">
        <w:t xml:space="preserve">applicant </w:t>
      </w:r>
      <w:r w:rsidR="003E1C84">
        <w:t>that is an</w:t>
      </w:r>
      <w:r w:rsidR="0018524E">
        <w:t xml:space="preserve"> established</w:t>
      </w:r>
      <w:r w:rsidR="000A61EE">
        <w:t xml:space="preserve"> </w:t>
      </w:r>
      <w:r w:rsidR="009F54F4">
        <w:t>compan</w:t>
      </w:r>
      <w:r w:rsidR="003E1C84">
        <w:t>y or</w:t>
      </w:r>
      <w:r w:rsidR="0018524E">
        <w:t xml:space="preserve"> </w:t>
      </w:r>
      <w:r w:rsidR="003E1C84">
        <w:t>that has</w:t>
      </w:r>
      <w:r w:rsidR="009F54F4">
        <w:t xml:space="preserve"> </w:t>
      </w:r>
      <w:r w:rsidR="000A61EE">
        <w:t>per</w:t>
      </w:r>
      <w:r w:rsidR="00AA3DE7">
        <w:t>sonnel</w:t>
      </w:r>
      <w:r w:rsidR="004C4370">
        <w:t xml:space="preserve"> </w:t>
      </w:r>
      <w:r w:rsidR="009F54F4">
        <w:t>with</w:t>
      </w:r>
      <w:r w:rsidR="00AA3DE7">
        <w:t xml:space="preserve"> </w:t>
      </w:r>
      <w:r w:rsidR="003E1C84">
        <w:t>similar</w:t>
      </w:r>
      <w:r w:rsidR="0018524E">
        <w:t xml:space="preserve"> industry track records</w:t>
      </w:r>
      <w:r w:rsidR="00AA3DE7">
        <w:t>.</w:t>
      </w:r>
    </w:p>
    <w:p w14:paraId="6D05D6FC" w14:textId="77777777" w:rsidR="00D22AFC" w:rsidRDefault="00D22AFC" w:rsidP="00423D47">
      <w:pPr>
        <w:spacing w:after="0" w:line="240" w:lineRule="auto"/>
      </w:pPr>
    </w:p>
    <w:p w14:paraId="73AF1C83" w14:textId="523F9A0D" w:rsidR="00FD6329" w:rsidRDefault="00FD6329" w:rsidP="00423D47">
      <w:pPr>
        <w:spacing w:after="0" w:line="240" w:lineRule="auto"/>
        <w:jc w:val="center"/>
      </w:pPr>
      <w:r>
        <w:t>Determination of New Dispatchable Power</w:t>
      </w:r>
    </w:p>
    <w:p w14:paraId="3C38DD3D" w14:textId="77777777" w:rsidR="00423D47" w:rsidRDefault="00423D47" w:rsidP="00423D47">
      <w:pPr>
        <w:spacing w:after="0" w:line="240" w:lineRule="auto"/>
      </w:pPr>
    </w:p>
    <w:p w14:paraId="0EC999DA" w14:textId="7A2BB8F3" w:rsidR="00FD6329" w:rsidRDefault="00FD6329" w:rsidP="00423D47">
      <w:pPr>
        <w:spacing w:after="0" w:line="240" w:lineRule="auto"/>
      </w:pPr>
      <w:r>
        <w:t xml:space="preserve">For the avoidance of doubt, the PUC should make clear that new dispatchable power </w:t>
      </w:r>
      <w:r w:rsidR="00381D46">
        <w:t>includes generation from a</w:t>
      </w:r>
      <w:r w:rsidR="003937B3">
        <w:t xml:space="preserve"> modernized</w:t>
      </w:r>
      <w:r w:rsidR="00381D46">
        <w:t xml:space="preserve"> decommissioned asset</w:t>
      </w:r>
      <w:r w:rsidR="00A27A88">
        <w:t xml:space="preserve"> seeking to re</w:t>
      </w:r>
      <w:r w:rsidR="005A39DC">
        <w:t>connect with the grid</w:t>
      </w:r>
      <w:r w:rsidR="003937B3">
        <w:t>.</w:t>
      </w:r>
      <w:r w:rsidR="00381D46">
        <w:t xml:space="preserve"> For example, if a retired plant is modernized or converted to a</w:t>
      </w:r>
      <w:r w:rsidR="005A39DC">
        <w:t>n eligible</w:t>
      </w:r>
      <w:r w:rsidR="00381D46">
        <w:t xml:space="preserve"> power plant, the entire output could qualify for a loan.</w:t>
      </w:r>
      <w:r w:rsidR="003937B3">
        <w:t xml:space="preserve"> The current output is 0 and the future output is several hundred megawatts.</w:t>
      </w:r>
      <w:r w:rsidR="005A39DC">
        <w:t xml:space="preserve"> Thus, every megawatt is eligible for determining the loan size.</w:t>
      </w:r>
    </w:p>
    <w:p w14:paraId="20DAC6BF" w14:textId="77777777" w:rsidR="00FD6329" w:rsidRDefault="00FD6329" w:rsidP="00423D47">
      <w:pPr>
        <w:spacing w:after="0" w:line="240" w:lineRule="auto"/>
      </w:pPr>
    </w:p>
    <w:p w14:paraId="262AA621" w14:textId="219A3AD5" w:rsidR="00FD6329" w:rsidRDefault="006A72B1" w:rsidP="000A61EE">
      <w:pPr>
        <w:spacing w:after="0" w:line="240" w:lineRule="auto"/>
        <w:jc w:val="center"/>
      </w:pPr>
      <w:r>
        <w:t xml:space="preserve">Dispatchable Generation </w:t>
      </w:r>
      <w:r w:rsidR="000A61EE">
        <w:t>Qualifications</w:t>
      </w:r>
    </w:p>
    <w:p w14:paraId="595F2145" w14:textId="77777777" w:rsidR="00423D47" w:rsidRDefault="00423D47" w:rsidP="00423D47">
      <w:pPr>
        <w:spacing w:after="0" w:line="240" w:lineRule="auto"/>
      </w:pPr>
    </w:p>
    <w:p w14:paraId="55E59F22" w14:textId="4BCE1BEF" w:rsidR="000379BF" w:rsidRDefault="000379BF" w:rsidP="00423D47">
      <w:pPr>
        <w:spacing w:after="0" w:line="240" w:lineRule="auto"/>
      </w:pPr>
      <w:r>
        <w:t xml:space="preserve">Nothing in SB 2627 states that a facility may only </w:t>
      </w:r>
      <w:r w:rsidR="00D24DDA">
        <w:t>consist of a single unit to qualify for the loan program.</w:t>
      </w:r>
      <w:r w:rsidR="0040243C">
        <w:t xml:space="preserve"> Nor is a facility required to </w:t>
      </w:r>
      <w:r w:rsidR="005677DA">
        <w:t xml:space="preserve">be </w:t>
      </w:r>
      <w:r w:rsidR="0040243C">
        <w:t>stationary or affixed to a precise location.</w:t>
      </w:r>
      <w:r w:rsidR="00D24DDA">
        <w:t xml:space="preserve"> This should be stated clearly in the rules</w:t>
      </w:r>
      <w:r w:rsidR="0040243C">
        <w:t xml:space="preserve"> to avoid bi</w:t>
      </w:r>
      <w:r w:rsidR="00B00185">
        <w:t>as when evaluating plans</w:t>
      </w:r>
      <w:r w:rsidR="00D24DDA">
        <w:t>.</w:t>
      </w:r>
    </w:p>
    <w:p w14:paraId="0CBDF1E0" w14:textId="77777777" w:rsidR="00E31B9D" w:rsidRDefault="00E31B9D" w:rsidP="00423D47">
      <w:pPr>
        <w:spacing w:after="0" w:line="240" w:lineRule="auto"/>
      </w:pPr>
    </w:p>
    <w:p w14:paraId="79527A63" w14:textId="59116E36" w:rsidR="000379BF" w:rsidRDefault="000379BF" w:rsidP="00423D47">
      <w:pPr>
        <w:spacing w:after="0" w:line="240" w:lineRule="auto"/>
      </w:pPr>
      <w:r>
        <w:t xml:space="preserve">Power demand fluctuates during different parts of the year. Our grid operators adjust the baseload accordingly. </w:t>
      </w:r>
      <w:r w:rsidR="00D24DDA">
        <w:t xml:space="preserve">While SB 2627 states that projects must be interconnected to the grid, it does not require that a facility be connected </w:t>
      </w:r>
      <w:r w:rsidR="0040243C">
        <w:t>all</w:t>
      </w:r>
      <w:r w:rsidR="00D24DDA">
        <w:t xml:space="preserve"> the time</w:t>
      </w:r>
      <w:r w:rsidR="0040243C">
        <w:t xml:space="preserve"> or continuously</w:t>
      </w:r>
      <w:r w:rsidR="00D24DDA">
        <w:t>.</w:t>
      </w:r>
      <w:r w:rsidR="0040243C">
        <w:t xml:space="preserve"> Currently,</w:t>
      </w:r>
      <w:r w:rsidR="00D24DDA">
        <w:t xml:space="preserve"> Rule </w:t>
      </w:r>
      <w:r w:rsidR="00D24DDA">
        <w:t>§25.211</w:t>
      </w:r>
      <w:r w:rsidR="00D24DDA">
        <w:t xml:space="preserve"> says as much, and the PUC or ERCOT could contractually bind electric generators to operate during </w:t>
      </w:r>
      <w:r w:rsidR="0040243C">
        <w:t>defined</w:t>
      </w:r>
      <w:r w:rsidR="00D24DDA">
        <w:t xml:space="preserve"> parts of the year.</w:t>
      </w:r>
    </w:p>
    <w:p w14:paraId="211B9640" w14:textId="77777777" w:rsidR="006A72B1" w:rsidRDefault="006A72B1" w:rsidP="00423D47">
      <w:pPr>
        <w:spacing w:after="0" w:line="240" w:lineRule="auto"/>
      </w:pPr>
    </w:p>
    <w:p w14:paraId="67A01FBB" w14:textId="29CD9749" w:rsidR="00F37C8D" w:rsidRDefault="00F37C8D" w:rsidP="00423D47">
      <w:pPr>
        <w:spacing w:after="0" w:line="240" w:lineRule="auto"/>
      </w:pPr>
      <w:r w:rsidRPr="00F37C8D">
        <w:t>SB 2627</w:t>
      </w:r>
      <w:r w:rsidR="006A72B1">
        <w:t xml:space="preserve"> also</w:t>
      </w:r>
      <w:r w:rsidRPr="00F37C8D">
        <w:t xml:space="preserve"> recognizes the need for regional power needs.</w:t>
      </w:r>
      <w:r>
        <w:t xml:space="preserve"> </w:t>
      </w:r>
      <w:r w:rsidRPr="00F37C8D">
        <w:t xml:space="preserve">Not to be confused with </w:t>
      </w:r>
      <w:r w:rsidR="00E31B9D">
        <w:t>projects allowed under the</w:t>
      </w:r>
      <w:r w:rsidRPr="00F37C8D">
        <w:t xml:space="preserve"> Texas Backup Power Package,</w:t>
      </w:r>
      <w:r>
        <w:t xml:space="preserve"> </w:t>
      </w:r>
      <w:r w:rsidRPr="00F37C8D">
        <w:t xml:space="preserve">there </w:t>
      </w:r>
      <w:r>
        <w:t>are</w:t>
      </w:r>
      <w:r w:rsidRPr="00F37C8D">
        <w:t xml:space="preserve"> times when additional power is needed </w:t>
      </w:r>
      <w:proofErr w:type="gramStart"/>
      <w:r w:rsidRPr="00F37C8D">
        <w:t>in a given</w:t>
      </w:r>
      <w:proofErr w:type="gramEnd"/>
      <w:r w:rsidRPr="00F37C8D">
        <w:t xml:space="preserve"> region</w:t>
      </w:r>
      <w:r w:rsidR="006A72B1">
        <w:t xml:space="preserve"> that is</w:t>
      </w:r>
      <w:r w:rsidRPr="00F37C8D">
        <w:t xml:space="preserve"> beyond the baseload. </w:t>
      </w:r>
      <w:r w:rsidR="0040243C">
        <w:t xml:space="preserve">To better serve a specific region, mobile power generation units that fit all other requirements of the Texas Energy Fund should be eligible for a loan. This is not back up power, rather a concerted plan to boost baseload during peak </w:t>
      </w:r>
      <w:r w:rsidR="00B00185">
        <w:t>conditions.</w:t>
      </w:r>
    </w:p>
    <w:sectPr w:rsidR="00F37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C8D"/>
    <w:rsid w:val="000379BF"/>
    <w:rsid w:val="000A61EE"/>
    <w:rsid w:val="0018524E"/>
    <w:rsid w:val="00381D46"/>
    <w:rsid w:val="003937B3"/>
    <w:rsid w:val="003E1C84"/>
    <w:rsid w:val="0040243C"/>
    <w:rsid w:val="00423D47"/>
    <w:rsid w:val="004C4370"/>
    <w:rsid w:val="00556BA1"/>
    <w:rsid w:val="005677DA"/>
    <w:rsid w:val="005A39DC"/>
    <w:rsid w:val="00616EFA"/>
    <w:rsid w:val="006A72B1"/>
    <w:rsid w:val="007C6BE4"/>
    <w:rsid w:val="008F350E"/>
    <w:rsid w:val="009F54F4"/>
    <w:rsid w:val="00A27A88"/>
    <w:rsid w:val="00AA3DE7"/>
    <w:rsid w:val="00B00185"/>
    <w:rsid w:val="00D22AFC"/>
    <w:rsid w:val="00D24DDA"/>
    <w:rsid w:val="00E31B9D"/>
    <w:rsid w:val="00F32F77"/>
    <w:rsid w:val="00F37C8D"/>
    <w:rsid w:val="00F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F35B"/>
  <w15:chartTrackingRefBased/>
  <w15:docId w15:val="{8A126B15-4FCE-4149-8AB1-0F803CAB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Williams</dc:creator>
  <cp:keywords/>
  <dc:description/>
  <cp:lastModifiedBy>Ben Williams</cp:lastModifiedBy>
  <cp:revision>16</cp:revision>
  <dcterms:created xsi:type="dcterms:W3CDTF">2023-10-13T15:29:00Z</dcterms:created>
  <dcterms:modified xsi:type="dcterms:W3CDTF">2023-10-13T18:40:00Z</dcterms:modified>
</cp:coreProperties>
</file>